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firstLine="2300" w:firstLineChars="1091"/>
        <w:contextualSpacing/>
        <w:outlineLvl w:val="0"/>
        <w:rPr>
          <w:rFonts w:ascii="黑体" w:hAnsi="宋体" w:eastAsia="黑体"/>
          <w:b/>
          <w:bCs/>
          <w:sz w:val="21"/>
          <w:szCs w:val="21"/>
          <w:lang w:eastAsia="zh-CN"/>
        </w:rPr>
      </w:pPr>
      <w:bookmarkStart w:id="0" w:name="_Toc415730504"/>
      <w:r>
        <w:rPr>
          <w:rFonts w:hint="eastAsia" w:ascii="黑体" w:hAnsi="宋体" w:eastAsia="黑体"/>
          <w:b/>
          <w:bCs/>
          <w:sz w:val="21"/>
          <w:szCs w:val="21"/>
          <w:lang w:eastAsia="zh-CN"/>
        </w:rPr>
        <w:t>附件2 旅游与文化产业学院学生综合素质测评表</w:t>
      </w:r>
      <w:bookmarkEnd w:id="0"/>
    </w:p>
    <w:p>
      <w:pPr>
        <w:spacing w:after="0" w:line="240" w:lineRule="auto"/>
        <w:rPr>
          <w:rFonts w:ascii="黑体" w:hAnsi="宋体" w:eastAsia="黑体"/>
          <w:b/>
          <w:sz w:val="18"/>
          <w:szCs w:val="18"/>
          <w:lang w:eastAsia="zh-CN"/>
        </w:rPr>
      </w:pPr>
      <w:r>
        <w:rPr>
          <w:rFonts w:hint="eastAsia" w:ascii="黑体" w:hAnsi="宋体" w:eastAsia="黑体"/>
          <w:b/>
          <w:sz w:val="18"/>
          <w:szCs w:val="18"/>
          <w:lang w:eastAsia="zh-CN"/>
        </w:rPr>
        <w:t>姓名：          专业：                     班级：            学号：</w:t>
      </w:r>
      <w:r>
        <w:rPr>
          <w:rFonts w:hint="eastAsia" w:ascii="黑体" w:hAnsi="宋体" w:eastAsia="黑体"/>
          <w:b/>
          <w:sz w:val="18"/>
          <w:szCs w:val="18"/>
          <w:lang w:eastAsia="zh-CN"/>
        </w:rPr>
        <w:tab/>
      </w:r>
      <w:r>
        <w:rPr>
          <w:rFonts w:hint="eastAsia" w:ascii="黑体" w:hAnsi="宋体" w:eastAsia="黑体"/>
          <w:b/>
          <w:sz w:val="18"/>
          <w:szCs w:val="18"/>
          <w:lang w:eastAsia="zh-CN"/>
        </w:rPr>
        <w:t xml:space="preserve">               联系电话：</w:t>
      </w:r>
    </w:p>
    <w:tbl>
      <w:tblPr>
        <w:tblStyle w:val="6"/>
        <w:tblW w:w="1119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992"/>
        <w:gridCol w:w="7513"/>
        <w:gridCol w:w="70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135"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20"/>
                <w:szCs w:val="20"/>
                <w:lang w:eastAsia="zh-CN"/>
              </w:rPr>
            </w:pPr>
            <w:r>
              <w:rPr>
                <w:rFonts w:hint="eastAsia" w:ascii="黑体" w:hAnsi="宋体" w:eastAsia="黑体"/>
                <w:b/>
                <w:color w:val="000000" w:themeColor="text1"/>
                <w:kern w:val="2"/>
                <w:sz w:val="20"/>
                <w:szCs w:val="20"/>
                <w:lang w:eastAsia="zh-CN"/>
              </w:rPr>
              <w:t>一级指标</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20"/>
                <w:szCs w:val="20"/>
              </w:rPr>
            </w:pPr>
            <w:r>
              <w:rPr>
                <w:rFonts w:hint="eastAsia" w:ascii="黑体" w:hAnsi="宋体" w:eastAsia="黑体"/>
                <w:b/>
                <w:color w:val="000000" w:themeColor="text1"/>
                <w:kern w:val="2"/>
                <w:sz w:val="18"/>
                <w:szCs w:val="18"/>
                <w:lang w:eastAsia="zh-CN"/>
              </w:rPr>
              <w:t>二级指标</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auto"/>
              <w:jc w:val="center"/>
              <w:rPr>
                <w:rFonts w:ascii="黑体" w:hAnsi="宋体" w:eastAsia="黑体"/>
                <w:color w:val="000000" w:themeColor="text1"/>
                <w:kern w:val="2"/>
                <w:sz w:val="20"/>
                <w:szCs w:val="20"/>
                <w:lang w:eastAsia="zh-CN"/>
              </w:rPr>
            </w:pPr>
            <w:r>
              <w:rPr>
                <w:rFonts w:hint="eastAsia" w:ascii="黑体" w:hAnsi="宋体" w:eastAsia="黑体"/>
                <w:b/>
                <w:bCs/>
                <w:color w:val="000000" w:themeColor="text1"/>
                <w:kern w:val="2"/>
                <w:sz w:val="20"/>
                <w:szCs w:val="20"/>
              </w:rPr>
              <w:t>加      分       细     则</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exact"/>
              <w:rPr>
                <w:rFonts w:ascii="黑体" w:hAnsi="宋体" w:eastAsia="黑体"/>
                <w:b/>
                <w:color w:val="000000" w:themeColor="text1"/>
                <w:kern w:val="2"/>
                <w:sz w:val="20"/>
                <w:szCs w:val="20"/>
              </w:rPr>
            </w:pPr>
            <w:r>
              <w:rPr>
                <w:rFonts w:hint="eastAsia" w:ascii="黑体" w:hAnsi="宋体" w:eastAsia="黑体"/>
                <w:b/>
                <w:color w:val="000000" w:themeColor="text1"/>
                <w:kern w:val="2"/>
                <w:sz w:val="20"/>
                <w:szCs w:val="20"/>
              </w:rPr>
              <w:t>小计分数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20"/>
                <w:szCs w:val="20"/>
                <w:lang w:eastAsia="zh-CN"/>
              </w:rPr>
            </w:pPr>
            <w:r>
              <w:rPr>
                <w:rFonts w:hint="eastAsia" w:ascii="黑体" w:hAnsi="宋体" w:eastAsia="黑体"/>
                <w:b/>
                <w:color w:val="000000" w:themeColor="text1"/>
                <w:kern w:val="2"/>
                <w:sz w:val="20"/>
                <w:szCs w:val="20"/>
              </w:rPr>
              <w:t>加分项</w:t>
            </w:r>
            <w:r>
              <w:rPr>
                <w:rFonts w:hint="eastAsia" w:ascii="黑体" w:hAnsi="宋体" w:eastAsia="黑体"/>
                <w:b/>
                <w:color w:val="000000" w:themeColor="text1"/>
                <w:kern w:val="2"/>
                <w:sz w:val="20"/>
                <w:szCs w:val="20"/>
                <w:lang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Merge w:val="restart"/>
            <w:tcBorders>
              <w:top w:val="single" w:color="auto" w:sz="4" w:space="0"/>
              <w:left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德育素质</w:t>
            </w:r>
          </w:p>
          <w:p>
            <w:pPr>
              <w:tabs>
                <w:tab w:val="left" w:pos="1845"/>
              </w:tabs>
              <w:jc w:val="center"/>
              <w:rPr>
                <w:rFonts w:ascii="黑体" w:hAnsi="宋体" w:eastAsia="黑体"/>
                <w:b/>
                <w:color w:val="000000" w:themeColor="text1"/>
                <w:kern w:val="2"/>
                <w:sz w:val="18"/>
                <w:szCs w:val="18"/>
                <w:lang w:eastAsia="zh-CN"/>
              </w:rPr>
            </w:pPr>
            <w:r>
              <w:rPr>
                <w:rFonts w:hint="eastAsia" w:ascii="黑体" w:hAnsi="宋体" w:eastAsia="黑体"/>
                <w:color w:val="000000" w:themeColor="text1"/>
                <w:kern w:val="2"/>
                <w:sz w:val="18"/>
                <w:szCs w:val="18"/>
                <w:lang w:eastAsia="zh-CN"/>
              </w:rPr>
              <w:t>（此项最多可记10分）</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rPr>
            </w:pPr>
            <w:r>
              <w:rPr>
                <w:rFonts w:hint="eastAsia" w:ascii="黑体" w:hAnsi="宋体" w:eastAsia="黑体"/>
                <w:b/>
                <w:color w:val="000000" w:themeColor="text1"/>
                <w:kern w:val="2"/>
                <w:sz w:val="18"/>
                <w:szCs w:val="18"/>
                <w:lang w:eastAsia="zh-CN"/>
              </w:rPr>
              <w:t>思想政治</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正式党员1分；预备党员0.8分；党校结业0.3分；交入党申请书0.1分。（可以累加）</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Merge w:val="continue"/>
            <w:tcBorders>
              <w:left w:val="single" w:color="auto" w:sz="4" w:space="0"/>
              <w:right w:val="single" w:color="auto" w:sz="4" w:space="0"/>
            </w:tcBorders>
            <w:vAlign w:val="center"/>
          </w:tcPr>
          <w:p>
            <w:pPr>
              <w:tabs>
                <w:tab w:val="left" w:pos="1845"/>
              </w:tabs>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生活观念</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院级十佳三好寝室0.5分/次；校级文明寝室和特色寝室0.5分/次；校级十佳文明寝室十佳特色寝室1分/次。 （同一项目以最高级别为准）</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135" w:type="dxa"/>
            <w:vMerge w:val="continue"/>
            <w:tcBorders>
              <w:left w:val="single" w:color="auto" w:sz="4" w:space="0"/>
              <w:right w:val="single" w:color="auto" w:sz="4" w:space="0"/>
            </w:tcBorders>
            <w:vAlign w:val="center"/>
          </w:tcPr>
          <w:p>
            <w:pPr>
              <w:tabs>
                <w:tab w:val="left" w:pos="1845"/>
              </w:tabs>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团队观念</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校级集体荣誉0.5分/人；校级十佳集体荣誉1分/人；区市级集体荣誉1.5分/人；省级集体荣誉2分/人；国家级集体荣誉3分/人。（同一项目以最高级别为准）</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trPr>
        <w:tc>
          <w:tcPr>
            <w:tcW w:w="1135" w:type="dxa"/>
            <w:vMerge w:val="continue"/>
            <w:tcBorders>
              <w:left w:val="single" w:color="auto" w:sz="4" w:space="0"/>
              <w:right w:val="single" w:color="auto" w:sz="4" w:space="0"/>
            </w:tcBorders>
            <w:vAlign w:val="center"/>
          </w:tcPr>
          <w:p>
            <w:pPr>
              <w:tabs>
                <w:tab w:val="left" w:pos="1845"/>
              </w:tabs>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rPr>
            </w:pPr>
            <w:r>
              <w:rPr>
                <w:rFonts w:hint="eastAsia" w:ascii="黑体" w:hAnsi="宋体" w:eastAsia="黑体"/>
                <w:b/>
                <w:color w:val="000000" w:themeColor="text1"/>
                <w:kern w:val="2"/>
                <w:sz w:val="18"/>
                <w:szCs w:val="18"/>
                <w:lang w:eastAsia="zh-CN"/>
              </w:rPr>
              <w:t>法纪素养</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通报批评： -0.5分/次；</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校级处分：警告-2分，严重警告-4分，记过-6分，留校察看-8分</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1135" w:type="dxa"/>
            <w:vMerge w:val="continue"/>
            <w:tcBorders>
              <w:left w:val="single" w:color="auto" w:sz="4" w:space="0"/>
              <w:bottom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rPr>
            </w:pPr>
            <w:r>
              <w:rPr>
                <w:rFonts w:hint="eastAsia" w:ascii="黑体" w:hAnsi="宋体" w:eastAsia="黑体"/>
                <w:b/>
                <w:color w:val="000000" w:themeColor="text1"/>
                <w:kern w:val="2"/>
                <w:sz w:val="18"/>
                <w:szCs w:val="18"/>
                <w:lang w:eastAsia="zh-CN"/>
              </w:rPr>
              <w:t>道德修养</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b/>
                <w:color w:val="000000" w:themeColor="text1"/>
                <w:kern w:val="2"/>
                <w:sz w:val="18"/>
                <w:szCs w:val="18"/>
                <w:lang w:eastAsia="zh-CN"/>
              </w:rPr>
              <w:t>个人荣誉：</w:t>
            </w:r>
            <w:r>
              <w:rPr>
                <w:rFonts w:hint="eastAsia" w:ascii="黑体" w:hAnsi="宋体" w:eastAsia="黑体"/>
                <w:color w:val="000000" w:themeColor="text1"/>
                <w:kern w:val="2"/>
                <w:sz w:val="18"/>
                <w:szCs w:val="18"/>
                <w:lang w:eastAsia="zh-CN"/>
              </w:rPr>
              <w:t>院级荣誉0.3分；校级荣誉0.5分；区市级荣誉1分；省级荣誉2分；国家级荣誉3分。（可以累加。上一学年评的奖学金证书不能加分）</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trPr>
        <w:tc>
          <w:tcPr>
            <w:tcW w:w="1135"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智育素质</w:t>
            </w:r>
          </w:p>
          <w:p>
            <w:pPr>
              <w:tabs>
                <w:tab w:val="left" w:pos="1845"/>
              </w:tabs>
              <w:spacing w:after="0" w:line="240" w:lineRule="auto"/>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（60分）</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学习成绩</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学年加权平均成绩的60% 。（以学院教务办在教务系统转出的除全校任选课成绩外的加权平均成绩为准，）</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exact"/>
              <w:rPr>
                <w:rFonts w:ascii="黑体" w:hAnsi="宋体" w:eastAsia="黑体"/>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Merge w:val="restart"/>
            <w:tcBorders>
              <w:top w:val="single" w:color="auto" w:sz="4" w:space="0"/>
              <w:left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发展性素质</w:t>
            </w:r>
          </w:p>
          <w:p>
            <w:pPr>
              <w:tabs>
                <w:tab w:val="left" w:pos="1845"/>
              </w:tabs>
              <w:spacing w:after="0" w:line="240" w:lineRule="auto"/>
              <w:jc w:val="center"/>
              <w:rPr>
                <w:rFonts w:ascii="黑体" w:hAnsi="宋体" w:eastAsia="黑体"/>
                <w:b/>
                <w:color w:val="000000" w:themeColor="text1"/>
                <w:kern w:val="2"/>
                <w:sz w:val="18"/>
                <w:szCs w:val="18"/>
                <w:lang w:eastAsia="zh-CN"/>
              </w:rPr>
            </w:pPr>
            <w:r>
              <w:rPr>
                <w:rFonts w:hint="eastAsia" w:ascii="黑体" w:hAnsi="宋体" w:eastAsia="黑体"/>
                <w:color w:val="000000" w:themeColor="text1"/>
                <w:kern w:val="2"/>
                <w:sz w:val="18"/>
                <w:szCs w:val="18"/>
                <w:lang w:eastAsia="zh-CN"/>
              </w:rPr>
              <w:t>（此项最多可记30分</w:t>
            </w:r>
            <w:r>
              <w:rPr>
                <w:rFonts w:hint="eastAsia" w:ascii="黑体" w:hAnsi="宋体" w:eastAsia="黑体"/>
                <w:b/>
                <w:color w:val="000000" w:themeColor="text1"/>
                <w:kern w:val="2"/>
                <w:sz w:val="18"/>
                <w:szCs w:val="18"/>
                <w:lang w:eastAsia="zh-CN"/>
              </w:rPr>
              <w:t>）</w:t>
            </w: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rPr>
            </w:pPr>
            <w:r>
              <w:rPr>
                <w:rFonts w:hint="eastAsia" w:ascii="黑体" w:hAnsi="宋体" w:eastAsia="黑体"/>
                <w:b/>
                <w:color w:val="000000" w:themeColor="text1"/>
                <w:kern w:val="2"/>
                <w:sz w:val="18"/>
                <w:szCs w:val="18"/>
              </w:rPr>
              <w:t>组织管理能力</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校院级干部、党支部支委、班长、团支书1.0分；学习委员加0.5分；班级其他干部、党小组组长以及校、院级干事加0.3分;五星级社团会长加1.0分;四星级社团会长加0.5分；三星及以下社团会长加0.3分（可以累加一次。学院开会未到扣0.05/次、纪律委员所交考勤表与教师抽查不一致扣0.05/次）</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exact"/>
              <w:rPr>
                <w:rFonts w:ascii="黑体" w:hAnsi="宋体" w:eastAsia="黑体"/>
                <w:color w:val="FF0000"/>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exact"/>
              <w:rPr>
                <w:rFonts w:ascii="黑体" w:hAnsi="宋体" w:eastAsia="黑体"/>
                <w:color w:val="FF0000"/>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Merge w:val="continue"/>
            <w:tcBorders>
              <w:left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普通话</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普通话通过二级乙等者加0.3分；二级甲等者加0.5分；一级乙等者加1分；一级甲等者加2分</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exact"/>
              <w:rPr>
                <w:rFonts w:ascii="黑体" w:hAnsi="宋体" w:eastAsia="黑体"/>
                <w:color w:val="FF0000"/>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exact"/>
              <w:rPr>
                <w:rFonts w:ascii="黑体" w:hAnsi="宋体" w:eastAsia="黑体"/>
                <w:color w:val="FF0000"/>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Merge w:val="continue"/>
            <w:tcBorders>
              <w:left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计算机</w:t>
            </w:r>
          </w:p>
          <w:p>
            <w:pPr>
              <w:tabs>
                <w:tab w:val="left" w:pos="1845"/>
              </w:tabs>
              <w:spacing w:after="0" w:line="240" w:lineRule="exact"/>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技能</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通过计算机一级加1分；二级加1.5分；三级加2分；（可以累加）</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exact"/>
              <w:rPr>
                <w:rFonts w:ascii="黑体" w:hAnsi="宋体" w:eastAsia="黑体"/>
                <w:b/>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Merge w:val="continue"/>
            <w:tcBorders>
              <w:left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外语技能</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英语通过四级（≧425分）加1.5，六级（≧425）加2分，口试加0.5分；</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FF0000"/>
                <w:kern w:val="2"/>
                <w:sz w:val="18"/>
                <w:szCs w:val="18"/>
                <w:lang w:eastAsia="zh-CN"/>
              </w:rPr>
              <w:t>雅思≧5.5分,托福≧60分,GRE≧310分，GMAT≧630分</w:t>
            </w:r>
            <w:r>
              <w:rPr>
                <w:rFonts w:hint="eastAsia" w:ascii="黑体" w:hAnsi="宋体" w:eastAsia="黑体"/>
                <w:color w:val="000000" w:themeColor="text1"/>
                <w:kern w:val="2"/>
                <w:sz w:val="18"/>
                <w:szCs w:val="18"/>
                <w:lang w:eastAsia="zh-CN"/>
              </w:rPr>
              <w:t>，德福≧3级，法语通过四级，日语通过N1级，其他小语种达到申请学校水平，剑桥商务英语（BEC）中级及以上，</w:t>
            </w:r>
            <w:r>
              <w:rPr>
                <w:rFonts w:ascii="黑体" w:hAnsi="宋体" w:eastAsia="黑体"/>
                <w:color w:val="000000" w:themeColor="text1"/>
                <w:kern w:val="2"/>
                <w:sz w:val="18"/>
                <w:szCs w:val="18"/>
                <w:lang w:eastAsia="zh-CN"/>
              </w:rPr>
              <w:t>全国翻译资格考试</w:t>
            </w:r>
            <w:r>
              <w:rPr>
                <w:rFonts w:hint="eastAsia" w:ascii="黑体" w:hAnsi="宋体" w:eastAsia="黑体"/>
                <w:color w:val="000000" w:themeColor="text1"/>
                <w:kern w:val="2"/>
                <w:sz w:val="18"/>
                <w:szCs w:val="18"/>
                <w:lang w:eastAsia="zh-CN"/>
              </w:rPr>
              <w:t>（</w:t>
            </w:r>
            <w:r>
              <w:rPr>
                <w:rFonts w:ascii="黑体" w:hAnsi="宋体" w:eastAsia="黑体"/>
                <w:color w:val="000000" w:themeColor="text1"/>
                <w:kern w:val="2"/>
                <w:sz w:val="18"/>
                <w:szCs w:val="18"/>
                <w:lang w:eastAsia="zh-CN"/>
              </w:rPr>
              <w:t>CATTI</w:t>
            </w:r>
            <w:r>
              <w:rPr>
                <w:rFonts w:hint="eastAsia" w:ascii="黑体" w:hAnsi="宋体" w:eastAsia="黑体"/>
                <w:color w:val="000000" w:themeColor="text1"/>
                <w:kern w:val="2"/>
                <w:sz w:val="18"/>
                <w:szCs w:val="18"/>
                <w:lang w:eastAsia="zh-CN"/>
              </w:rPr>
              <w:t>）过三级，都加2分。（可以累加）</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atLeast"/>
        </w:trPr>
        <w:tc>
          <w:tcPr>
            <w:tcW w:w="1135" w:type="dxa"/>
            <w:vMerge w:val="continue"/>
            <w:tcBorders>
              <w:left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职业技能</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取得国家或行业认定的技能资格证书：</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咖啡师、调酒师、茶艺师证、营养师证、驾驶证、证券从业资格证、电子商务师、银行初级资格证(银行从业资格证)、</w:t>
            </w:r>
            <w:r>
              <w:rPr>
                <w:rFonts w:hint="eastAsia" w:ascii="黑体" w:hAnsi="宋体" w:eastAsia="黑体"/>
                <w:color w:val="000000" w:themeColor="text1"/>
                <w:sz w:val="18"/>
                <w:szCs w:val="18"/>
                <w:lang w:eastAsia="zh-CN"/>
              </w:rPr>
              <w:t>基金从业资格证、</w:t>
            </w:r>
            <w:r>
              <w:rPr>
                <w:rFonts w:hint="eastAsia" w:ascii="黑体" w:hAnsi="宋体" w:eastAsia="黑体"/>
                <w:color w:val="000000" w:themeColor="text1"/>
                <w:kern w:val="2"/>
                <w:sz w:val="18"/>
                <w:szCs w:val="18"/>
                <w:lang w:eastAsia="zh-CN"/>
              </w:rPr>
              <w:t>创业培训（</w:t>
            </w:r>
            <w:r>
              <w:rPr>
                <w:rFonts w:ascii="黑体" w:hAnsi="宋体" w:eastAsia="黑体"/>
                <w:color w:val="000000" w:themeColor="text1"/>
                <w:kern w:val="2"/>
                <w:sz w:val="18"/>
                <w:szCs w:val="18"/>
                <w:lang w:eastAsia="zh-CN"/>
              </w:rPr>
              <w:t>SYB</w:t>
            </w:r>
            <w:r>
              <w:rPr>
                <w:rFonts w:hint="eastAsia" w:ascii="黑体" w:hAnsi="宋体" w:eastAsia="黑体"/>
                <w:color w:val="000000" w:themeColor="text1"/>
                <w:kern w:val="2"/>
                <w:sz w:val="18"/>
                <w:szCs w:val="18"/>
                <w:lang w:eastAsia="zh-CN"/>
              </w:rPr>
              <w:t>）合格证、期货从业资格证、初级商业会计证（ACCA）加1分。</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教师资格证、初级会计师、初级审计师、报检</w:t>
            </w:r>
            <w:bookmarkStart w:id="1" w:name="_GoBack"/>
            <w:bookmarkEnd w:id="1"/>
            <w:r>
              <w:rPr>
                <w:rFonts w:hint="eastAsia" w:ascii="黑体" w:hAnsi="宋体" w:eastAsia="黑体"/>
                <w:color w:val="000000" w:themeColor="text1"/>
                <w:kern w:val="2"/>
                <w:sz w:val="18"/>
                <w:szCs w:val="18"/>
                <w:lang w:eastAsia="zh-CN"/>
              </w:rPr>
              <w:t>员、报关员、资产评估师、初级统计师、高级商业会计证（ACCA）、注册管理会计师（CMA）、人力资源管理师、市场分析师、市场营销师、市场调查师、导游证加2分。</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（可以累加。大四可以提供成绩证明材料加分，其余年级必须提供各类证书才能加分，其中15级、16级在2016-2017学年提供成绩已经加分的不再重复加证书分）</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6" w:hRule="atLeast"/>
        </w:trPr>
        <w:tc>
          <w:tcPr>
            <w:tcW w:w="1135" w:type="dxa"/>
            <w:vMerge w:val="continue"/>
            <w:tcBorders>
              <w:left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竞赛奖励</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院级比赛（竞赛）：一等奖0.5分，二等奖0.3分.三等奖0.2分，优秀奖0.1分；</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校级比赛（竞赛）：学科类一等奖1分，二等奖0.5分.三等奖0.3分；优秀奖0.2分</w:t>
            </w:r>
          </w:p>
          <w:p>
            <w:pPr>
              <w:tabs>
                <w:tab w:val="left" w:pos="1845"/>
              </w:tabs>
              <w:spacing w:after="0" w:line="230" w:lineRule="exact"/>
              <w:ind w:firstLine="1530" w:firstLineChars="850"/>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文体类一等奖0.5分，二等奖0.3分.三等奖0.2分；优秀奖0.1分</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市级比赛（竞赛）：学科类一等奖2分，二等奖1分，三等奖0.5分；优秀奖0.3分</w:t>
            </w:r>
          </w:p>
          <w:p>
            <w:pPr>
              <w:tabs>
                <w:tab w:val="left" w:pos="1845"/>
              </w:tabs>
              <w:spacing w:after="0" w:line="230" w:lineRule="exact"/>
              <w:ind w:firstLine="1530" w:firstLineChars="850"/>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文体类一等奖1.5分，二等奖0.5分.三等奖0.3分；优秀奖0.2分</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省级比赛（竞赛）：学科类一等奖3分，二等奖2分，三等奖1分，优秀奖0.5分。</w:t>
            </w:r>
          </w:p>
          <w:p>
            <w:pPr>
              <w:tabs>
                <w:tab w:val="left" w:pos="1845"/>
              </w:tabs>
              <w:spacing w:after="0" w:line="230" w:lineRule="exact"/>
              <w:ind w:firstLine="1530" w:firstLineChars="850"/>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文体类一等奖2分，二等奖1.5分.三等奖0.5分；优秀奖0.3分</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国家级比赛（竞赛）：学科类一等奖5分，二等奖3分，三等奖2分；优秀奖1分。</w:t>
            </w:r>
          </w:p>
          <w:p>
            <w:pPr>
              <w:tabs>
                <w:tab w:val="left" w:pos="1845"/>
              </w:tabs>
              <w:spacing w:after="0" w:line="230" w:lineRule="exact"/>
              <w:ind w:firstLine="1710" w:firstLineChars="950"/>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文体类一等奖4分，二等奖2分.三等奖1分；优秀奖0.5分。</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其中，（1）全国大学生电子设计竞赛、全国大学生数学建模竞赛、全国大学生广告艺术设计大赛、全国大学生英语竞赛、全国大学生英语演讲竞赛、全国大学生电子商务竞赛、“挑战杯”全国大学生科技作品竞赛、“挑战杯”全国大学生创业计划大赛、</w:t>
            </w:r>
            <w:r>
              <w:rPr>
                <w:rFonts w:ascii="黑体" w:hAnsi="宋体" w:eastAsia="黑体"/>
                <w:color w:val="000000" w:themeColor="text1"/>
                <w:kern w:val="2"/>
                <w:sz w:val="18"/>
                <w:szCs w:val="18"/>
                <w:lang w:eastAsia="zh-CN"/>
              </w:rPr>
              <w:t>全国大学生物流设计大赛、中国“互联网+”大学生创新创业大赛</w:t>
            </w:r>
            <w:r>
              <w:rPr>
                <w:rFonts w:hint="eastAsia" w:ascii="黑体" w:hAnsi="宋体" w:eastAsia="黑体"/>
                <w:color w:val="000000" w:themeColor="text1"/>
                <w:kern w:val="2"/>
                <w:sz w:val="18"/>
                <w:szCs w:val="18"/>
                <w:lang w:eastAsia="zh-CN"/>
              </w:rPr>
              <w:t>，获</w:t>
            </w:r>
            <w:r>
              <w:rPr>
                <w:rFonts w:hint="eastAsia" w:ascii="黑体" w:hAnsi="宋体" w:eastAsia="黑体"/>
                <w:color w:val="FF0000"/>
                <w:kern w:val="2"/>
                <w:sz w:val="18"/>
                <w:szCs w:val="18"/>
                <w:lang w:eastAsia="zh-CN"/>
              </w:rPr>
              <w:t>特等（一等）</w:t>
            </w:r>
            <w:r>
              <w:rPr>
                <w:rFonts w:hint="eastAsia" w:ascii="黑体" w:hAnsi="宋体" w:eastAsia="黑体"/>
                <w:color w:val="000000" w:themeColor="text1"/>
                <w:kern w:val="2"/>
                <w:sz w:val="18"/>
                <w:szCs w:val="18"/>
                <w:lang w:eastAsia="zh-CN"/>
              </w:rPr>
              <w:t>奖10分，二等奖8分，三等奖5分；优秀奖3分。（2）</w:t>
            </w:r>
            <w:r>
              <w:rPr>
                <w:rFonts w:ascii="黑体" w:hAnsi="宋体" w:eastAsia="黑体"/>
                <w:color w:val="000000" w:themeColor="text1"/>
                <w:kern w:val="2"/>
                <w:sz w:val="18"/>
                <w:szCs w:val="18"/>
                <w:lang w:eastAsia="zh-CN"/>
              </w:rPr>
              <w:t>四川省大学生“新道杯”ERP沙盘模拟经营大赛、四川省大学生营销策划大赛、四川省大学生会计技能大赛、四川省大学生证券投资模拟大赛</w:t>
            </w:r>
            <w:r>
              <w:rPr>
                <w:rFonts w:hint="eastAsia" w:ascii="黑体" w:hAnsi="宋体" w:eastAsia="黑体"/>
                <w:color w:val="000000" w:themeColor="text1"/>
                <w:kern w:val="2"/>
                <w:sz w:val="18"/>
                <w:szCs w:val="18"/>
                <w:lang w:eastAsia="zh-CN"/>
              </w:rPr>
              <w:t xml:space="preserve">、上述（1）中有省级比赛的，获一等奖5分，二等奖4分，三等奖3分；优秀奖1分。 </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 xml:space="preserve">     备注：可以累加，但同一个项目的竞赛以最高级别为准。</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b/>
                <w:color w:val="000000" w:themeColor="text1"/>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Merge w:val="continue"/>
            <w:tcBorders>
              <w:left w:val="single" w:color="auto" w:sz="4" w:space="0"/>
              <w:bottom w:val="single" w:color="auto" w:sz="4" w:space="0"/>
              <w:right w:val="single" w:color="auto" w:sz="4" w:space="0"/>
            </w:tcBorders>
            <w:vAlign w:val="center"/>
          </w:tcPr>
          <w:p>
            <w:pPr>
              <w:tabs>
                <w:tab w:val="left" w:pos="1845"/>
              </w:tabs>
              <w:spacing w:after="0" w:line="240" w:lineRule="auto"/>
              <w:jc w:val="center"/>
              <w:rPr>
                <w:rFonts w:ascii="黑体" w:hAnsi="宋体" w:eastAsia="黑体"/>
                <w:b/>
                <w:color w:val="000000" w:themeColor="text1"/>
                <w:kern w:val="2"/>
                <w:sz w:val="18"/>
                <w:szCs w:val="18"/>
                <w:lang w:eastAsia="zh-CN"/>
              </w:rPr>
            </w:pPr>
          </w:p>
        </w:tc>
        <w:tc>
          <w:tcPr>
            <w:tcW w:w="992"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科研与创新能力</w:t>
            </w:r>
          </w:p>
        </w:tc>
        <w:tc>
          <w:tcPr>
            <w:tcW w:w="7513" w:type="dxa"/>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b/>
                <w:color w:val="000000" w:themeColor="text1"/>
                <w:kern w:val="2"/>
                <w:sz w:val="18"/>
                <w:szCs w:val="18"/>
                <w:lang w:eastAsia="zh-CN"/>
              </w:rPr>
              <w:t>在国家公开刊物</w:t>
            </w:r>
            <w:r>
              <w:rPr>
                <w:rFonts w:hint="eastAsia" w:ascii="黑体" w:hAnsi="宋体" w:eastAsia="黑体"/>
                <w:color w:val="000000" w:themeColor="text1"/>
                <w:kern w:val="2"/>
                <w:sz w:val="18"/>
                <w:szCs w:val="18"/>
                <w:lang w:eastAsia="zh-CN"/>
              </w:rPr>
              <w:t>(国家新闻出版总署可查)上发表学术文章，独著的学术文章一般刊物加2分，核心刊物加10分，合著第一作者按70%计分，第二作者按30%计分；出版教材和专著独著加20分，合著第一作者按70%计分，第二作者按30%计分；（以北大、南大核心目录为准）</w:t>
            </w:r>
          </w:p>
          <w:p>
            <w:pPr>
              <w:tabs>
                <w:tab w:val="left" w:pos="1845"/>
              </w:tabs>
              <w:spacing w:after="0" w:line="230" w:lineRule="exact"/>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创新性试验计划、创新创业项目：</w:t>
            </w:r>
          </w:p>
          <w:p>
            <w:pPr>
              <w:tabs>
                <w:tab w:val="left" w:pos="1845"/>
              </w:tabs>
              <w:spacing w:after="0" w:line="230" w:lineRule="exact"/>
              <w:ind w:firstLine="360" w:firstLineChars="200"/>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立项：院级0.3分；校级0.5分；省级1.5分；国家级3.0分。</w:t>
            </w:r>
          </w:p>
          <w:p>
            <w:pPr>
              <w:tabs>
                <w:tab w:val="left" w:pos="1845"/>
              </w:tabs>
              <w:spacing w:after="0" w:line="230" w:lineRule="exact"/>
              <w:ind w:firstLine="360" w:firstLineChars="200"/>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结题：院级0.5分；校级1.0分；省级3.0分；国家级5.0分。</w:t>
            </w:r>
          </w:p>
          <w:p>
            <w:pPr>
              <w:tabs>
                <w:tab w:val="left" w:pos="1845"/>
              </w:tabs>
              <w:spacing w:after="0" w:line="230" w:lineRule="exact"/>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凡大四要</w:t>
            </w:r>
            <w:r>
              <w:rPr>
                <w:rFonts w:hint="eastAsia" w:ascii="黑体" w:hAnsi="宋体" w:eastAsia="黑体"/>
                <w:b/>
                <w:color w:val="000000" w:themeColor="text1"/>
                <w:kern w:val="2"/>
                <w:sz w:val="18"/>
                <w:szCs w:val="18"/>
                <w:lang w:eastAsia="zh-CN"/>
              </w:rPr>
              <w:t>报考研究生</w:t>
            </w:r>
            <w:r>
              <w:rPr>
                <w:rFonts w:hint="eastAsia" w:ascii="黑体" w:hAnsi="宋体" w:eastAsia="黑体"/>
                <w:color w:val="000000" w:themeColor="text1"/>
                <w:kern w:val="2"/>
                <w:sz w:val="18"/>
                <w:szCs w:val="18"/>
                <w:lang w:eastAsia="zh-CN"/>
              </w:rPr>
              <w:t>的同学加0.5分,若经查询未参加研究生考试报名者,取消其评奖资格</w:t>
            </w:r>
          </w:p>
        </w:tc>
        <w:tc>
          <w:tcPr>
            <w:tcW w:w="709"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rPr>
                <w:rFonts w:ascii="黑体" w:hAnsi="宋体" w:eastAsia="黑体"/>
                <w:color w:val="000000" w:themeColor="text1"/>
                <w:kern w:val="2"/>
                <w:sz w:val="18"/>
                <w:szCs w:val="18"/>
                <w:lang w:eastAsia="zh-CN"/>
              </w:rPr>
            </w:pPr>
          </w:p>
        </w:tc>
        <w:tc>
          <w:tcPr>
            <w:tcW w:w="850" w:type="dxa"/>
            <w:tcBorders>
              <w:top w:val="single" w:color="auto" w:sz="4" w:space="0"/>
              <w:left w:val="single" w:color="auto" w:sz="4" w:space="0"/>
              <w:bottom w:val="single" w:color="auto" w:sz="4" w:space="0"/>
              <w:right w:val="single" w:color="auto" w:sz="4" w:space="0"/>
            </w:tcBorders>
          </w:tcPr>
          <w:p>
            <w:pPr>
              <w:tabs>
                <w:tab w:val="left" w:pos="1845"/>
              </w:tabs>
              <w:spacing w:after="0" w:line="240" w:lineRule="auto"/>
              <w:jc w:val="center"/>
              <w:rPr>
                <w:rFonts w:ascii="黑体" w:hAnsi="宋体" w:eastAsia="黑体"/>
                <w:color w:val="FF0000"/>
                <w:kern w:val="2"/>
                <w:sz w:val="18"/>
                <w:szCs w:val="18"/>
                <w:lang w:eastAsia="zh-CN"/>
              </w:rPr>
            </w:pPr>
          </w:p>
          <w:p>
            <w:pPr>
              <w:tabs>
                <w:tab w:val="left" w:pos="1845"/>
              </w:tabs>
              <w:spacing w:after="0" w:line="240" w:lineRule="auto"/>
              <w:jc w:val="center"/>
              <w:rPr>
                <w:rFonts w:ascii="黑体" w:hAnsi="宋体" w:eastAsia="黑体"/>
                <w:color w:val="FF0000"/>
                <w:kern w:val="2"/>
                <w:sz w:val="18"/>
                <w:szCs w:val="18"/>
                <w:lang w:eastAsia="zh-CN"/>
              </w:rPr>
            </w:pPr>
          </w:p>
          <w:p>
            <w:pPr>
              <w:tabs>
                <w:tab w:val="left" w:pos="1845"/>
              </w:tabs>
              <w:spacing w:after="0" w:line="240" w:lineRule="auto"/>
              <w:jc w:val="center"/>
              <w:rPr>
                <w:rFonts w:ascii="黑体" w:hAnsi="宋体" w:eastAsia="黑体"/>
                <w:color w:val="FF0000"/>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2127" w:type="dxa"/>
            <w:gridSpan w:val="2"/>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ind w:left="90" w:hanging="90" w:hangingChars="50"/>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综合素质测评总分</w:t>
            </w:r>
          </w:p>
        </w:tc>
        <w:tc>
          <w:tcPr>
            <w:tcW w:w="9072" w:type="dxa"/>
            <w:gridSpan w:val="3"/>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jc w:val="center"/>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 xml:space="preserve">    德育素质（     ）分 + 智育素质（      ）分 + 发展性素质（      ）分 </w:t>
            </w:r>
            <w:r>
              <w:rPr>
                <w:rFonts w:hint="eastAsia" w:ascii="黑体" w:hAnsi="宋体" w:eastAsia="黑体"/>
                <w:color w:val="000000" w:themeColor="text1"/>
                <w:kern w:val="2"/>
                <w:sz w:val="24"/>
                <w:szCs w:val="24"/>
                <w:lang w:eastAsia="zh-CN"/>
              </w:rPr>
              <w:t>=</w:t>
            </w:r>
            <w:r>
              <w:rPr>
                <w:rFonts w:hint="eastAsia" w:ascii="黑体" w:hAnsi="宋体" w:eastAsia="黑体"/>
                <w:color w:val="000000" w:themeColor="text1"/>
                <w:kern w:val="2"/>
                <w:sz w:val="18"/>
                <w:szCs w:val="18"/>
                <w:lang w:eastAsia="zh-CN"/>
              </w:rPr>
              <w:t>（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2127" w:type="dxa"/>
            <w:gridSpan w:val="2"/>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ind w:left="90" w:hanging="90" w:hangingChars="50"/>
              <w:jc w:val="center"/>
              <w:rPr>
                <w:rFonts w:ascii="黑体" w:hAnsi="宋体" w:eastAsia="黑体"/>
                <w:b/>
                <w:color w:val="000000" w:themeColor="text1"/>
                <w:kern w:val="2"/>
                <w:sz w:val="18"/>
                <w:szCs w:val="18"/>
                <w:lang w:eastAsia="zh-CN"/>
              </w:rPr>
            </w:pPr>
            <w:r>
              <w:rPr>
                <w:rFonts w:hint="eastAsia" w:ascii="黑体" w:hAnsi="宋体" w:eastAsia="黑体"/>
                <w:b/>
                <w:color w:val="000000" w:themeColor="text1"/>
                <w:kern w:val="2"/>
                <w:sz w:val="18"/>
                <w:szCs w:val="18"/>
                <w:lang w:eastAsia="zh-CN"/>
              </w:rPr>
              <w:t>班级审核</w:t>
            </w:r>
          </w:p>
        </w:tc>
        <w:tc>
          <w:tcPr>
            <w:tcW w:w="9072" w:type="dxa"/>
            <w:gridSpan w:val="3"/>
            <w:tcBorders>
              <w:top w:val="single" w:color="auto" w:sz="4" w:space="0"/>
              <w:left w:val="single" w:color="auto" w:sz="4" w:space="0"/>
              <w:bottom w:val="single" w:color="auto" w:sz="4" w:space="0"/>
              <w:right w:val="single" w:color="auto" w:sz="4" w:space="0"/>
            </w:tcBorders>
            <w:vAlign w:val="center"/>
          </w:tcPr>
          <w:p>
            <w:pPr>
              <w:tabs>
                <w:tab w:val="left" w:pos="1845"/>
              </w:tabs>
              <w:spacing w:after="0" w:line="240" w:lineRule="exact"/>
              <w:ind w:firstLine="352" w:firstLineChars="196"/>
              <w:rPr>
                <w:rFonts w:ascii="黑体" w:hAnsi="宋体" w:eastAsia="黑体"/>
                <w:color w:val="000000" w:themeColor="text1"/>
                <w:kern w:val="2"/>
                <w:sz w:val="18"/>
                <w:szCs w:val="18"/>
                <w:lang w:eastAsia="zh-CN"/>
              </w:rPr>
            </w:pPr>
            <w:r>
              <w:rPr>
                <w:rFonts w:hint="eastAsia" w:ascii="黑体" w:hAnsi="宋体" w:eastAsia="黑体"/>
                <w:color w:val="000000" w:themeColor="text1"/>
                <w:kern w:val="2"/>
                <w:sz w:val="18"/>
                <w:szCs w:val="18"/>
                <w:lang w:eastAsia="zh-CN"/>
              </w:rPr>
              <w:t xml:space="preserve">团支书审核签字：                          班主任审核签字：               </w:t>
            </w:r>
          </w:p>
        </w:tc>
      </w:tr>
    </w:tbl>
    <w:p>
      <w:pPr>
        <w:tabs>
          <w:tab w:val="left" w:pos="1845"/>
          <w:tab w:val="right" w:pos="8306"/>
        </w:tabs>
        <w:spacing w:after="0"/>
        <w:rPr>
          <w:rFonts w:ascii="黑体" w:hAnsi="宋体" w:eastAsia="黑体"/>
          <w:b/>
          <w:color w:val="000000" w:themeColor="text1"/>
          <w:sz w:val="18"/>
          <w:szCs w:val="18"/>
          <w:lang w:eastAsia="zh-CN"/>
        </w:rPr>
      </w:pPr>
    </w:p>
    <w:p>
      <w:pPr>
        <w:tabs>
          <w:tab w:val="left" w:pos="1845"/>
          <w:tab w:val="right" w:pos="8306"/>
        </w:tabs>
        <w:spacing w:after="0"/>
        <w:rPr>
          <w:rFonts w:ascii="黑体" w:hAnsi="宋体" w:eastAsia="黑体"/>
          <w:b/>
          <w:color w:val="000000" w:themeColor="text1"/>
          <w:sz w:val="18"/>
          <w:szCs w:val="18"/>
          <w:lang w:eastAsia="zh-CN"/>
        </w:rPr>
      </w:pPr>
      <w:r>
        <w:rPr>
          <w:rFonts w:hint="eastAsia" w:ascii="黑体" w:hAnsi="宋体" w:eastAsia="黑体"/>
          <w:b/>
          <w:color w:val="000000" w:themeColor="text1"/>
          <w:sz w:val="18"/>
          <w:szCs w:val="18"/>
          <w:lang w:eastAsia="zh-CN"/>
        </w:rPr>
        <w:t>注意事项：</w:t>
      </w:r>
    </w:p>
    <w:p>
      <w:pPr>
        <w:spacing w:after="0" w:line="240" w:lineRule="auto"/>
        <w:ind w:firstLine="542" w:firstLineChars="300"/>
        <w:rPr>
          <w:rFonts w:ascii="黑体" w:hAnsi="宋体" w:eastAsia="黑体"/>
          <w:b/>
          <w:color w:val="000000" w:themeColor="text1"/>
          <w:sz w:val="18"/>
          <w:szCs w:val="18"/>
          <w:lang w:eastAsia="zh-CN"/>
        </w:rPr>
      </w:pPr>
      <w:r>
        <w:rPr>
          <w:rFonts w:hint="eastAsia" w:ascii="黑体" w:hAnsi="宋体" w:eastAsia="黑体"/>
          <w:b/>
          <w:color w:val="000000" w:themeColor="text1"/>
          <w:sz w:val="18"/>
          <w:szCs w:val="18"/>
          <w:lang w:eastAsia="zh-CN"/>
        </w:rPr>
        <w:t>1、素质拓展总分达到4分及以上才有资格参加各级各类奖学金的评选；</w:t>
      </w:r>
    </w:p>
    <w:p>
      <w:pPr>
        <w:tabs>
          <w:tab w:val="left" w:pos="645"/>
        </w:tabs>
        <w:spacing w:after="0" w:line="240" w:lineRule="auto"/>
        <w:ind w:firstLine="542" w:firstLineChars="300"/>
        <w:rPr>
          <w:rFonts w:ascii="黑体" w:hAnsi="宋体" w:eastAsia="黑体"/>
          <w:b/>
          <w:color w:val="000000" w:themeColor="text1"/>
          <w:sz w:val="18"/>
          <w:szCs w:val="18"/>
          <w:lang w:eastAsia="zh-CN"/>
        </w:rPr>
      </w:pPr>
      <w:r>
        <w:rPr>
          <w:rFonts w:hint="eastAsia" w:ascii="黑体" w:hAnsi="宋体" w:eastAsia="黑体"/>
          <w:b/>
          <w:color w:val="000000" w:themeColor="text1"/>
          <w:sz w:val="18"/>
          <w:szCs w:val="18"/>
          <w:lang w:eastAsia="zh-CN"/>
        </w:rPr>
        <w:t>2、以上所有项目的认定时间范围必须是在2017年9月1日—2018年8月31日期间发生的；</w:t>
      </w:r>
    </w:p>
    <w:p>
      <w:pPr>
        <w:spacing w:after="0" w:line="240" w:lineRule="auto"/>
        <w:ind w:firstLine="542" w:firstLineChars="300"/>
        <w:rPr>
          <w:rFonts w:ascii="黑体" w:hAnsi="宋体" w:eastAsia="黑体"/>
          <w:b/>
          <w:color w:val="000000" w:themeColor="text1"/>
          <w:sz w:val="18"/>
          <w:szCs w:val="18"/>
          <w:lang w:eastAsia="zh-CN"/>
        </w:rPr>
      </w:pPr>
      <w:r>
        <w:rPr>
          <w:rFonts w:hint="eastAsia" w:ascii="黑体" w:hAnsi="宋体" w:eastAsia="黑体"/>
          <w:b/>
          <w:color w:val="000000" w:themeColor="text1"/>
          <w:sz w:val="18"/>
          <w:szCs w:val="18"/>
          <w:lang w:eastAsia="zh-CN"/>
        </w:rPr>
        <w:t>3、学年加权平均成绩中不包含</w:t>
      </w:r>
      <w:r>
        <w:rPr>
          <w:rFonts w:hint="eastAsia" w:ascii="黑体" w:hAnsi="宋体" w:eastAsia="黑体"/>
          <w:b/>
          <w:color w:val="FF0000"/>
          <w:sz w:val="18"/>
          <w:szCs w:val="18"/>
          <w:lang w:eastAsia="zh-CN"/>
        </w:rPr>
        <w:t>全校</w:t>
      </w:r>
      <w:r>
        <w:rPr>
          <w:rFonts w:hint="eastAsia" w:ascii="黑体" w:hAnsi="宋体" w:eastAsia="黑体"/>
          <w:b/>
          <w:color w:val="000000" w:themeColor="text1"/>
          <w:sz w:val="18"/>
          <w:szCs w:val="18"/>
          <w:lang w:eastAsia="zh-CN"/>
        </w:rPr>
        <w:t>任意选修课成绩；</w:t>
      </w:r>
    </w:p>
    <w:p>
      <w:pPr>
        <w:spacing w:after="0" w:line="240" w:lineRule="auto"/>
        <w:ind w:firstLine="542" w:firstLineChars="300"/>
        <w:rPr>
          <w:rFonts w:ascii="黑体" w:hAnsi="宋体" w:eastAsia="黑体"/>
          <w:b/>
          <w:color w:val="000000" w:themeColor="text1"/>
          <w:sz w:val="18"/>
          <w:szCs w:val="18"/>
          <w:lang w:eastAsia="zh-CN"/>
        </w:rPr>
      </w:pPr>
      <w:r>
        <w:rPr>
          <w:rFonts w:hint="eastAsia" w:ascii="黑体" w:hAnsi="宋体" w:eastAsia="黑体"/>
          <w:b/>
          <w:color w:val="000000" w:themeColor="text1"/>
          <w:sz w:val="18"/>
          <w:szCs w:val="18"/>
          <w:lang w:eastAsia="zh-CN"/>
        </w:rPr>
        <w:t>4、其它课程的换算方法：优：95，良：85，中：75，合格：60，补考合格：60；</w:t>
      </w:r>
    </w:p>
    <w:p>
      <w:pPr>
        <w:widowControl w:val="0"/>
        <w:spacing w:after="0" w:line="240" w:lineRule="auto"/>
        <w:ind w:firstLine="542" w:firstLineChars="300"/>
        <w:jc w:val="both"/>
        <w:rPr>
          <w:rFonts w:ascii="黑体" w:hAnsi="宋体" w:eastAsia="黑体"/>
          <w:color w:val="000000" w:themeColor="text1"/>
          <w:kern w:val="2"/>
          <w:sz w:val="18"/>
          <w:szCs w:val="18"/>
          <w:lang w:eastAsia="zh-CN" w:bidi="ar-SA"/>
        </w:rPr>
      </w:pPr>
      <w:r>
        <w:rPr>
          <w:rFonts w:hint="eastAsia" w:ascii="黑体" w:hAnsi="宋体" w:eastAsia="黑体"/>
          <w:b/>
          <w:color w:val="000000" w:themeColor="text1"/>
          <w:sz w:val="18"/>
          <w:szCs w:val="18"/>
          <w:lang w:eastAsia="zh-CN"/>
        </w:rPr>
        <w:t>5、提供相关的加分项的证明材料；</w:t>
      </w:r>
    </w:p>
    <w:p>
      <w:pPr>
        <w:spacing w:after="0" w:line="240" w:lineRule="auto"/>
        <w:ind w:firstLine="542" w:firstLineChars="300"/>
        <w:rPr>
          <w:rFonts w:ascii="黑体" w:hAnsi="宋体" w:eastAsia="黑体"/>
          <w:b/>
          <w:color w:val="000000" w:themeColor="text1"/>
          <w:sz w:val="18"/>
          <w:szCs w:val="18"/>
          <w:lang w:eastAsia="zh-CN"/>
        </w:rPr>
      </w:pPr>
      <w:r>
        <w:rPr>
          <w:rFonts w:hint="eastAsia" w:ascii="黑体" w:hAnsi="宋体" w:eastAsia="黑体"/>
          <w:b/>
          <w:color w:val="000000" w:themeColor="text1"/>
          <w:sz w:val="18"/>
          <w:szCs w:val="18"/>
          <w:lang w:eastAsia="zh-CN"/>
        </w:rPr>
        <w:t>6、社团相关一切证明及获奖均不能加分。</w:t>
      </w:r>
    </w:p>
    <w:p>
      <w:pPr>
        <w:spacing w:after="0" w:line="240" w:lineRule="auto"/>
        <w:ind w:firstLine="542" w:firstLineChars="300"/>
        <w:jc w:val="both"/>
        <w:rPr>
          <w:rFonts w:asciiTheme="minorEastAsia" w:hAnsiTheme="minorEastAsia" w:eastAsiaTheme="minorEastAsia"/>
          <w:color w:val="FF0000"/>
          <w:sz w:val="18"/>
          <w:szCs w:val="18"/>
          <w:lang w:eastAsia="zh-CN"/>
        </w:rPr>
      </w:pPr>
      <w:r>
        <w:rPr>
          <w:rFonts w:hint="eastAsia" w:ascii="黑体" w:hAnsi="宋体" w:eastAsia="黑体"/>
          <w:b/>
          <w:color w:val="000000" w:themeColor="text1"/>
          <w:sz w:val="18"/>
          <w:szCs w:val="18"/>
          <w:lang w:eastAsia="zh-CN"/>
        </w:rPr>
        <w:t>7、</w:t>
      </w:r>
      <w:r>
        <w:rPr>
          <w:rFonts w:hint="eastAsia" w:ascii="黑体" w:hAnsi="宋体" w:eastAsia="黑体"/>
          <w:b/>
          <w:color w:val="FF0000"/>
          <w:sz w:val="18"/>
          <w:szCs w:val="18"/>
          <w:lang w:eastAsia="zh-CN"/>
        </w:rPr>
        <w:t>个人或集体荣誉级别认定：</w:t>
      </w:r>
      <w:r>
        <w:rPr>
          <w:rFonts w:ascii="宋体" w:hAnsi="宋体" w:cs="宋体"/>
          <w:sz w:val="24"/>
          <w:szCs w:val="24"/>
          <w:lang w:eastAsia="zh-CN" w:bidi="ar-SA"/>
        </w:rPr>
        <w:br w:type="textWrapping"/>
      </w:r>
      <w:r>
        <w:rPr>
          <w:rFonts w:ascii="宋体" w:hAnsi="宋体" w:cs="宋体"/>
          <w:sz w:val="24"/>
          <w:szCs w:val="24"/>
          <w:lang w:eastAsia="zh-CN" w:bidi="ar-SA"/>
        </w:rPr>
        <w:t>  </w:t>
      </w:r>
      <w:r>
        <w:rPr>
          <w:rFonts w:asciiTheme="minorEastAsia" w:hAnsiTheme="minorEastAsia" w:eastAsiaTheme="minorEastAsia"/>
          <w:color w:val="FF0000"/>
          <w:sz w:val="18"/>
          <w:szCs w:val="18"/>
          <w:lang w:eastAsia="zh-CN"/>
        </w:rPr>
        <w:t>区、市、县级及以上荣誉是指区、市、县级及以上人民政府、教育主管部门、党委组织部、共青团等组织的表彰奖励。</w:t>
      </w:r>
      <w:r>
        <w:rPr>
          <w:rFonts w:asciiTheme="minorEastAsia" w:hAnsiTheme="minorEastAsia" w:eastAsiaTheme="minorEastAsia"/>
          <w:color w:val="FF0000"/>
          <w:sz w:val="18"/>
          <w:szCs w:val="18"/>
          <w:lang w:eastAsia="zh-CN"/>
        </w:rPr>
        <w:br w:type="textWrapping"/>
      </w:r>
      <w:r>
        <w:rPr>
          <w:rFonts w:asciiTheme="minorEastAsia" w:hAnsiTheme="minorEastAsia" w:eastAsiaTheme="minorEastAsia"/>
          <w:color w:val="FF0000"/>
          <w:sz w:val="18"/>
          <w:szCs w:val="18"/>
          <w:lang w:eastAsia="zh-CN"/>
        </w:rPr>
        <w:t>  </w:t>
      </w:r>
      <w:r>
        <w:rPr>
          <w:rFonts w:hint="eastAsia" w:asciiTheme="minorEastAsia" w:hAnsiTheme="minorEastAsia" w:eastAsiaTheme="minorEastAsia"/>
          <w:color w:val="FF0000"/>
          <w:sz w:val="18"/>
          <w:szCs w:val="18"/>
          <w:lang w:eastAsia="zh-CN"/>
        </w:rPr>
        <w:t xml:space="preserve"> </w:t>
      </w:r>
      <w:r>
        <w:rPr>
          <w:rFonts w:asciiTheme="minorEastAsia" w:hAnsiTheme="minorEastAsia" w:eastAsiaTheme="minorEastAsia"/>
          <w:color w:val="FF0000"/>
          <w:sz w:val="18"/>
          <w:szCs w:val="18"/>
          <w:lang w:eastAsia="zh-CN"/>
        </w:rPr>
        <w:t>校级表彰奖励划分为两档：第一档为学校党委或行政名义开展的表彰奖励、校团委开展的五四表彰、“雄辩杯”辩论赛、“科创杯”、“开拓杯”活动奖项；第二档为学校职能部门（如党委组织部、党委宣传部、党委学生工作部、党委武装部、</w:t>
      </w:r>
      <w:r>
        <w:rPr>
          <w:rFonts w:hint="eastAsia" w:asciiTheme="minorEastAsia" w:hAnsiTheme="minorEastAsia" w:eastAsiaTheme="minorEastAsia"/>
          <w:color w:val="FF0000"/>
          <w:sz w:val="18"/>
          <w:szCs w:val="18"/>
          <w:lang w:eastAsia="zh-CN"/>
        </w:rPr>
        <w:t>校团委、</w:t>
      </w:r>
      <w:r>
        <w:rPr>
          <w:rFonts w:asciiTheme="minorEastAsia" w:hAnsiTheme="minorEastAsia" w:eastAsiaTheme="minorEastAsia"/>
          <w:color w:val="FF0000"/>
          <w:sz w:val="18"/>
          <w:szCs w:val="18"/>
          <w:lang w:eastAsia="zh-CN"/>
        </w:rPr>
        <w:t>心理健康教育中心</w:t>
      </w:r>
      <w:r>
        <w:rPr>
          <w:rFonts w:hint="eastAsia" w:asciiTheme="minorEastAsia" w:hAnsiTheme="minorEastAsia" w:eastAsiaTheme="minorEastAsia"/>
          <w:color w:val="FF0000"/>
          <w:sz w:val="18"/>
          <w:szCs w:val="18"/>
          <w:lang w:eastAsia="zh-CN"/>
        </w:rPr>
        <w:t>、校体委</w:t>
      </w:r>
      <w:r>
        <w:rPr>
          <w:rFonts w:asciiTheme="minorEastAsia" w:hAnsiTheme="minorEastAsia" w:eastAsiaTheme="minorEastAsia"/>
          <w:color w:val="FF0000"/>
          <w:sz w:val="18"/>
          <w:szCs w:val="18"/>
          <w:lang w:eastAsia="zh-CN"/>
        </w:rPr>
        <w:t>）名义开展的表彰奖励。</w:t>
      </w:r>
      <w:r>
        <w:rPr>
          <w:rFonts w:asciiTheme="minorEastAsia" w:hAnsiTheme="minorEastAsia" w:eastAsiaTheme="minorEastAsia"/>
          <w:color w:val="FF0000"/>
          <w:sz w:val="18"/>
          <w:szCs w:val="18"/>
          <w:lang w:eastAsia="zh-CN"/>
        </w:rPr>
        <w:br w:type="textWrapping"/>
      </w:r>
      <w:r>
        <w:rPr>
          <w:rFonts w:asciiTheme="minorEastAsia" w:hAnsiTheme="minorEastAsia" w:eastAsiaTheme="minorEastAsia"/>
          <w:color w:val="FF0000"/>
          <w:sz w:val="18"/>
          <w:szCs w:val="18"/>
          <w:lang w:eastAsia="zh-CN"/>
        </w:rPr>
        <w:t xml:space="preserve">  院级就是除校级两档外的各学院、部门开展的表彰奖励。 </w:t>
      </w:r>
    </w:p>
    <w:p>
      <w:pPr>
        <w:spacing w:after="0" w:line="240" w:lineRule="auto"/>
        <w:ind w:firstLine="540" w:firstLineChars="300"/>
        <w:rPr>
          <w:rFonts w:asciiTheme="minorEastAsia" w:hAnsiTheme="minorEastAsia" w:eastAsiaTheme="minorEastAsia"/>
          <w:color w:val="FF0000"/>
          <w:sz w:val="18"/>
          <w:szCs w:val="18"/>
          <w:lang w:eastAsia="zh-CN"/>
        </w:rPr>
      </w:pPr>
    </w:p>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1BCB"/>
    <w:rsid w:val="000006BA"/>
    <w:rsid w:val="00002724"/>
    <w:rsid w:val="00005A91"/>
    <w:rsid w:val="00007225"/>
    <w:rsid w:val="00025F50"/>
    <w:rsid w:val="000279C8"/>
    <w:rsid w:val="0003287E"/>
    <w:rsid w:val="00035CCF"/>
    <w:rsid w:val="000636F2"/>
    <w:rsid w:val="00076EA1"/>
    <w:rsid w:val="00077B87"/>
    <w:rsid w:val="00084F8E"/>
    <w:rsid w:val="0009148D"/>
    <w:rsid w:val="0009685B"/>
    <w:rsid w:val="000A156E"/>
    <w:rsid w:val="000B3B1B"/>
    <w:rsid w:val="000D27E2"/>
    <w:rsid w:val="000D322D"/>
    <w:rsid w:val="001013B3"/>
    <w:rsid w:val="001129F1"/>
    <w:rsid w:val="00134290"/>
    <w:rsid w:val="0016763E"/>
    <w:rsid w:val="00167BC3"/>
    <w:rsid w:val="001772BF"/>
    <w:rsid w:val="001818F6"/>
    <w:rsid w:val="0019144A"/>
    <w:rsid w:val="00193243"/>
    <w:rsid w:val="001A48BA"/>
    <w:rsid w:val="001B67DD"/>
    <w:rsid w:val="001C3729"/>
    <w:rsid w:val="001C614D"/>
    <w:rsid w:val="001D2E74"/>
    <w:rsid w:val="001D5939"/>
    <w:rsid w:val="001E1B33"/>
    <w:rsid w:val="001F3FAA"/>
    <w:rsid w:val="001F6CD8"/>
    <w:rsid w:val="002153CC"/>
    <w:rsid w:val="002172CF"/>
    <w:rsid w:val="002409A2"/>
    <w:rsid w:val="00243403"/>
    <w:rsid w:val="0025127D"/>
    <w:rsid w:val="00254A7D"/>
    <w:rsid w:val="002569E5"/>
    <w:rsid w:val="0026003A"/>
    <w:rsid w:val="002604A2"/>
    <w:rsid w:val="002723BF"/>
    <w:rsid w:val="0028019D"/>
    <w:rsid w:val="00284522"/>
    <w:rsid w:val="00284C74"/>
    <w:rsid w:val="00296A35"/>
    <w:rsid w:val="002A2FB7"/>
    <w:rsid w:val="002A303B"/>
    <w:rsid w:val="002A792E"/>
    <w:rsid w:val="002C19F3"/>
    <w:rsid w:val="002C67DC"/>
    <w:rsid w:val="002D0F72"/>
    <w:rsid w:val="002E75A5"/>
    <w:rsid w:val="002F4DBD"/>
    <w:rsid w:val="002F4F1B"/>
    <w:rsid w:val="002F57A9"/>
    <w:rsid w:val="00301311"/>
    <w:rsid w:val="003212D5"/>
    <w:rsid w:val="00323560"/>
    <w:rsid w:val="003237D6"/>
    <w:rsid w:val="003444C0"/>
    <w:rsid w:val="00346521"/>
    <w:rsid w:val="00356DC2"/>
    <w:rsid w:val="00380F52"/>
    <w:rsid w:val="00392F7F"/>
    <w:rsid w:val="00396C3B"/>
    <w:rsid w:val="00396D58"/>
    <w:rsid w:val="003A2F1A"/>
    <w:rsid w:val="003B74FD"/>
    <w:rsid w:val="003C06B3"/>
    <w:rsid w:val="003C2073"/>
    <w:rsid w:val="003C7675"/>
    <w:rsid w:val="003D3EA8"/>
    <w:rsid w:val="003D62D4"/>
    <w:rsid w:val="003E6065"/>
    <w:rsid w:val="003E7785"/>
    <w:rsid w:val="003F12AB"/>
    <w:rsid w:val="00407342"/>
    <w:rsid w:val="004119AD"/>
    <w:rsid w:val="00415D1D"/>
    <w:rsid w:val="00422F0C"/>
    <w:rsid w:val="004B6AFC"/>
    <w:rsid w:val="004D35B4"/>
    <w:rsid w:val="004D4117"/>
    <w:rsid w:val="00500374"/>
    <w:rsid w:val="00507638"/>
    <w:rsid w:val="0051495F"/>
    <w:rsid w:val="005531F1"/>
    <w:rsid w:val="00556F6D"/>
    <w:rsid w:val="00563115"/>
    <w:rsid w:val="005828D7"/>
    <w:rsid w:val="0059067D"/>
    <w:rsid w:val="005A3D34"/>
    <w:rsid w:val="005C473C"/>
    <w:rsid w:val="005C61DD"/>
    <w:rsid w:val="005D20B4"/>
    <w:rsid w:val="005D3BBE"/>
    <w:rsid w:val="005F0705"/>
    <w:rsid w:val="00606553"/>
    <w:rsid w:val="006069D6"/>
    <w:rsid w:val="00610965"/>
    <w:rsid w:val="0061132A"/>
    <w:rsid w:val="0061180A"/>
    <w:rsid w:val="00617953"/>
    <w:rsid w:val="00641E53"/>
    <w:rsid w:val="006564EF"/>
    <w:rsid w:val="00663CC6"/>
    <w:rsid w:val="0066731F"/>
    <w:rsid w:val="006777B2"/>
    <w:rsid w:val="00682617"/>
    <w:rsid w:val="006A4B6F"/>
    <w:rsid w:val="006A4DC6"/>
    <w:rsid w:val="006B1328"/>
    <w:rsid w:val="006B6233"/>
    <w:rsid w:val="006B7540"/>
    <w:rsid w:val="006C0793"/>
    <w:rsid w:val="006C4472"/>
    <w:rsid w:val="006D04FD"/>
    <w:rsid w:val="006D1B75"/>
    <w:rsid w:val="006E2391"/>
    <w:rsid w:val="006F310D"/>
    <w:rsid w:val="007041FF"/>
    <w:rsid w:val="00704E4A"/>
    <w:rsid w:val="00713A73"/>
    <w:rsid w:val="00721095"/>
    <w:rsid w:val="0072435F"/>
    <w:rsid w:val="007245ED"/>
    <w:rsid w:val="00737D04"/>
    <w:rsid w:val="007541EE"/>
    <w:rsid w:val="00754402"/>
    <w:rsid w:val="00764839"/>
    <w:rsid w:val="00771674"/>
    <w:rsid w:val="007860A4"/>
    <w:rsid w:val="007B595E"/>
    <w:rsid w:val="007C0C8E"/>
    <w:rsid w:val="007C262E"/>
    <w:rsid w:val="007C2CD8"/>
    <w:rsid w:val="007D648C"/>
    <w:rsid w:val="007F5560"/>
    <w:rsid w:val="007F786B"/>
    <w:rsid w:val="00805585"/>
    <w:rsid w:val="0082735F"/>
    <w:rsid w:val="00830D0D"/>
    <w:rsid w:val="00832B4A"/>
    <w:rsid w:val="00840F7A"/>
    <w:rsid w:val="00845B48"/>
    <w:rsid w:val="008612CD"/>
    <w:rsid w:val="008633FA"/>
    <w:rsid w:val="00872E11"/>
    <w:rsid w:val="00872FB0"/>
    <w:rsid w:val="00891469"/>
    <w:rsid w:val="008922B2"/>
    <w:rsid w:val="008954BB"/>
    <w:rsid w:val="008A49B1"/>
    <w:rsid w:val="008A79E0"/>
    <w:rsid w:val="008D27DD"/>
    <w:rsid w:val="008D4654"/>
    <w:rsid w:val="008D4B4E"/>
    <w:rsid w:val="008E6FB7"/>
    <w:rsid w:val="008F4F9E"/>
    <w:rsid w:val="00902008"/>
    <w:rsid w:val="00914D25"/>
    <w:rsid w:val="00916BD5"/>
    <w:rsid w:val="0092364D"/>
    <w:rsid w:val="00924D1A"/>
    <w:rsid w:val="009304EB"/>
    <w:rsid w:val="00932DE0"/>
    <w:rsid w:val="0094205E"/>
    <w:rsid w:val="00946BD5"/>
    <w:rsid w:val="00971368"/>
    <w:rsid w:val="00971EF1"/>
    <w:rsid w:val="0097489A"/>
    <w:rsid w:val="009834C3"/>
    <w:rsid w:val="00983918"/>
    <w:rsid w:val="00983BB0"/>
    <w:rsid w:val="00986ECD"/>
    <w:rsid w:val="009A3B00"/>
    <w:rsid w:val="009A4AE9"/>
    <w:rsid w:val="009B0409"/>
    <w:rsid w:val="009D2147"/>
    <w:rsid w:val="009D49AC"/>
    <w:rsid w:val="009E4738"/>
    <w:rsid w:val="009F1754"/>
    <w:rsid w:val="009F712A"/>
    <w:rsid w:val="00A036FA"/>
    <w:rsid w:val="00A0502A"/>
    <w:rsid w:val="00A1174C"/>
    <w:rsid w:val="00A127F0"/>
    <w:rsid w:val="00A1299A"/>
    <w:rsid w:val="00A141CC"/>
    <w:rsid w:val="00A220C7"/>
    <w:rsid w:val="00A51BBE"/>
    <w:rsid w:val="00A57AEC"/>
    <w:rsid w:val="00A629F4"/>
    <w:rsid w:val="00A6379F"/>
    <w:rsid w:val="00A639E6"/>
    <w:rsid w:val="00A75F8A"/>
    <w:rsid w:val="00AA2BC3"/>
    <w:rsid w:val="00AA451D"/>
    <w:rsid w:val="00AA65C7"/>
    <w:rsid w:val="00AB2F22"/>
    <w:rsid w:val="00AC03BB"/>
    <w:rsid w:val="00AD2909"/>
    <w:rsid w:val="00AD7A38"/>
    <w:rsid w:val="00AE03B4"/>
    <w:rsid w:val="00AE0537"/>
    <w:rsid w:val="00B0429D"/>
    <w:rsid w:val="00B04656"/>
    <w:rsid w:val="00B0583F"/>
    <w:rsid w:val="00B10D73"/>
    <w:rsid w:val="00B21EE9"/>
    <w:rsid w:val="00B47F1A"/>
    <w:rsid w:val="00B630C4"/>
    <w:rsid w:val="00B65584"/>
    <w:rsid w:val="00B7792C"/>
    <w:rsid w:val="00B80D89"/>
    <w:rsid w:val="00B92D06"/>
    <w:rsid w:val="00B9456E"/>
    <w:rsid w:val="00BA6D34"/>
    <w:rsid w:val="00BB1D28"/>
    <w:rsid w:val="00BC1D9E"/>
    <w:rsid w:val="00BC2C55"/>
    <w:rsid w:val="00BD7501"/>
    <w:rsid w:val="00BE726A"/>
    <w:rsid w:val="00BF5044"/>
    <w:rsid w:val="00C0725C"/>
    <w:rsid w:val="00C2287E"/>
    <w:rsid w:val="00C330AE"/>
    <w:rsid w:val="00C36DD2"/>
    <w:rsid w:val="00C41FDA"/>
    <w:rsid w:val="00C42D62"/>
    <w:rsid w:val="00C63E83"/>
    <w:rsid w:val="00C87C96"/>
    <w:rsid w:val="00C900D4"/>
    <w:rsid w:val="00C91BCB"/>
    <w:rsid w:val="00C95C1A"/>
    <w:rsid w:val="00CB5CD2"/>
    <w:rsid w:val="00CC137B"/>
    <w:rsid w:val="00CC1BD0"/>
    <w:rsid w:val="00CE35D2"/>
    <w:rsid w:val="00CE3D8C"/>
    <w:rsid w:val="00D03760"/>
    <w:rsid w:val="00D21239"/>
    <w:rsid w:val="00D217B5"/>
    <w:rsid w:val="00D220C0"/>
    <w:rsid w:val="00D2505D"/>
    <w:rsid w:val="00D34C5F"/>
    <w:rsid w:val="00D35D07"/>
    <w:rsid w:val="00D41C32"/>
    <w:rsid w:val="00D44E42"/>
    <w:rsid w:val="00D54FCE"/>
    <w:rsid w:val="00D77ED7"/>
    <w:rsid w:val="00D80D5C"/>
    <w:rsid w:val="00D81934"/>
    <w:rsid w:val="00DA610D"/>
    <w:rsid w:val="00DB5B6C"/>
    <w:rsid w:val="00DC11A8"/>
    <w:rsid w:val="00DC18ED"/>
    <w:rsid w:val="00DC71DE"/>
    <w:rsid w:val="00DE3E04"/>
    <w:rsid w:val="00DE4FA1"/>
    <w:rsid w:val="00DE577E"/>
    <w:rsid w:val="00DE6919"/>
    <w:rsid w:val="00DF7D90"/>
    <w:rsid w:val="00E02CC2"/>
    <w:rsid w:val="00E17A4C"/>
    <w:rsid w:val="00E207A0"/>
    <w:rsid w:val="00E2245F"/>
    <w:rsid w:val="00E72A46"/>
    <w:rsid w:val="00E92B55"/>
    <w:rsid w:val="00E941D5"/>
    <w:rsid w:val="00E9701D"/>
    <w:rsid w:val="00EA0026"/>
    <w:rsid w:val="00EA26AE"/>
    <w:rsid w:val="00EA4133"/>
    <w:rsid w:val="00EB3DE7"/>
    <w:rsid w:val="00EC622B"/>
    <w:rsid w:val="00EF23B0"/>
    <w:rsid w:val="00F04E21"/>
    <w:rsid w:val="00F11D52"/>
    <w:rsid w:val="00F169F1"/>
    <w:rsid w:val="00F22B72"/>
    <w:rsid w:val="00F245D7"/>
    <w:rsid w:val="00F4186E"/>
    <w:rsid w:val="00F42453"/>
    <w:rsid w:val="00F47850"/>
    <w:rsid w:val="00F55C8A"/>
    <w:rsid w:val="00F61FFF"/>
    <w:rsid w:val="00F71EF6"/>
    <w:rsid w:val="00F77CAA"/>
    <w:rsid w:val="00F81E94"/>
    <w:rsid w:val="00F85A03"/>
    <w:rsid w:val="00F948DD"/>
    <w:rsid w:val="00F97AC5"/>
    <w:rsid w:val="00FA424A"/>
    <w:rsid w:val="00FC534C"/>
    <w:rsid w:val="37752F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kern w:val="0"/>
      <w:sz w:val="22"/>
      <w:szCs w:val="22"/>
      <w:lang w:val="en-US" w:eastAsia="en-US" w:bidi="en-US"/>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pPr>
      <w:spacing w:after="0" w:line="240" w:lineRule="auto"/>
    </w:pPr>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rFonts w:asciiTheme="minorHAnsi" w:hAnsiTheme="minorHAnsi" w:eastAsiaTheme="minorEastAsia" w:cstheme="minorBidi"/>
      <w:kern w:val="2"/>
      <w:sz w:val="18"/>
      <w:szCs w:val="18"/>
      <w:lang w:eastAsia="zh-CN" w:bidi="ar-SA"/>
    </w:rPr>
  </w:style>
  <w:style w:type="paragraph" w:styleId="4">
    <w:name w:val="header"/>
    <w:basedOn w:val="1"/>
    <w:link w:val="7"/>
    <w:unhideWhenUsed/>
    <w:uiPriority w:val="99"/>
    <w:pPr>
      <w:widowControl w:val="0"/>
      <w:pBdr>
        <w:bottom w:val="single" w:color="auto" w:sz="6" w:space="1"/>
      </w:pBdr>
      <w:tabs>
        <w:tab w:val="center" w:pos="4153"/>
        <w:tab w:val="right" w:pos="8306"/>
      </w:tabs>
      <w:snapToGrid w:val="0"/>
      <w:spacing w:after="0" w:line="240" w:lineRule="auto"/>
      <w:jc w:val="center"/>
    </w:pPr>
    <w:rPr>
      <w:rFonts w:asciiTheme="minorHAnsi" w:hAnsiTheme="minorHAnsi" w:eastAsiaTheme="minorEastAsia" w:cstheme="minorBidi"/>
      <w:kern w:val="2"/>
      <w:sz w:val="18"/>
      <w:szCs w:val="18"/>
      <w:lang w:eastAsia="zh-CN" w:bidi="ar-SA"/>
    </w:rPr>
  </w:style>
  <w:style w:type="character" w:customStyle="1" w:styleId="7">
    <w:name w:val="页眉 Char"/>
    <w:basedOn w:val="5"/>
    <w:link w:val="4"/>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rFonts w:ascii="Times New Roman" w:hAnsi="Times New Roman" w:eastAsia="宋体" w:cs="Times New Roman"/>
      <w:kern w:val="0"/>
      <w:sz w:val="18"/>
      <w:szCs w:val="18"/>
      <w:lang w:eastAsia="en-US" w:bidi="en-US"/>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418</Words>
  <Characters>2384</Characters>
  <Lines>19</Lines>
  <Paragraphs>5</Paragraphs>
  <TotalTime>1664</TotalTime>
  <ScaleCrop>false</ScaleCrop>
  <LinksUpToDate>false</LinksUpToDate>
  <CharactersWithSpaces>2797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2015-11-03T08:30:00Z</dcterms:created>
  <dc:creator>lenovo</dc:creator>
  <cp:lastModifiedBy>hp</cp:lastModifiedBy>
  <cp:lastPrinted>2018-04-23T09:00:00Z</cp:lastPrinted>
  <dcterms:modified xsi:type="dcterms:W3CDTF">2018-09-04T02:42:43Z</dcterms:modified>
  <cp:revision>210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